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color w:val="333333"/>
          <w:sz w:val="44"/>
          <w:szCs w:val="44"/>
          <w:shd w:val="clear" w:color="auto" w:fill="FFFFFF"/>
        </w:rPr>
        <w:t>海州区农机购置补贴机具核验工作制度</w:t>
      </w:r>
    </w:p>
    <w:p>
      <w:pPr>
        <w:pStyle w:val="4"/>
        <w:shd w:val="clear" w:color="auto" w:fill="FFFFFF"/>
        <w:topLinePunct/>
        <w:spacing w:before="0" w:beforeAutospacing="0" w:after="0" w:afterAutospacing="0" w:line="580" w:lineRule="exact"/>
        <w:ind w:firstLine="640" w:firstLineChars="200"/>
        <w:jc w:val="both"/>
        <w:rPr>
          <w:rFonts w:hint="eastAsia" w:ascii="仿宋" w:hAnsi="仿宋" w:eastAsia="仿宋" w:cs="仿宋_GB2312"/>
          <w:color w:val="333333"/>
          <w:sz w:val="32"/>
          <w:szCs w:val="32"/>
          <w:shd w:val="clear" w:color="auto" w:fill="FFFFFF"/>
        </w:rPr>
      </w:pPr>
      <w:r>
        <w:rPr>
          <w:rFonts w:hint="eastAsia" w:ascii="仿宋" w:hAnsi="仿宋" w:eastAsia="仿宋"/>
          <w:color w:val="333333"/>
          <w:sz w:val="32"/>
          <w:szCs w:val="32"/>
        </w:rPr>
        <w:t>为加强农机购置补贴机具核验管理，规范核验行为，防范管理风险，提高办补效率，进一步便民利民，</w:t>
      </w:r>
      <w:r>
        <w:rPr>
          <w:rFonts w:hint="eastAsia" w:ascii="仿宋" w:hAnsi="仿宋" w:eastAsia="仿宋" w:cs="仿宋_GB2312"/>
          <w:color w:val="333333"/>
          <w:sz w:val="32"/>
          <w:szCs w:val="32"/>
          <w:shd w:val="clear" w:color="auto" w:fill="FFFFFF"/>
        </w:rPr>
        <w:t>根据辽宁省农业农村厅、辽宁省财政厅农机购置补贴政策实施相关规定,制定海州区农机购置补贴机具核验工作制度如下。</w:t>
      </w:r>
    </w:p>
    <w:p>
      <w:pPr>
        <w:widowControl/>
        <w:shd w:val="clear" w:color="auto" w:fill="FFFFFF"/>
        <w:spacing w:line="58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一、核验内容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补贴机具核验是对购机者申报农机购置补贴时提供的相关资料进行形式审核、对机具进行核查的工作。核验的主要内容包括：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（一）购机者身份信息。个人身份证件或农业生产经营组织工商营业执照（统一社会信用代码）及其法定代表人身份证件等信息；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（二）购买信息。购买补贴机具税控发票等信息；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（三）机具信息。机具上固定铭牌信息、农机购置补贴辅助管理系统所对应机具的信息、牌证管理机具的行驶证信息等；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（四）其他信息。购机者银行卡（一卡通）账号、开户名等信息，以及政策实施要求提供的其他必要信息。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上述信息的真实性、完整性和有效性由购机者、产销企业和农机安全监理机构分别负责，并承担相应的法律任。 </w:t>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 xml:space="preserve">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二、核验程序及要求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（一）受理申请。对购机者自主提出的补贴申请，按规定进行“一站式”受理服务。对牌证管理机具，鼓励通过手机APP方式申请办理。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工商营业执照所显示的农业生产经营组织名称是否一致。三是购机价格真实性承诺。购机者确认购机税控发票上的购机金额与其实际支付的资金（含补贴款）是否一致，以及隐瞒不报、提供虚假信息需承担的违规责任，购机者对购机价格和补贴申请资料的真实性签字确认。四是政策实施要求提供的其他资料。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未通过核验的，应将所发现的问题一次性告知购机者，并说明完善方法。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三）机具核验。一是重点机具核验。重点核验购机税控发票所显示的机具名称、生产企业、型号、发动机号（不带动力的可不核验）、出厂编号与所购机具铭牌显示信息是否一致，所购机具铭牌显示信息与农机购置补贴辅助管理系统内对应的机具信息是否一致，购机税控发票所显示的经销企业与农机购置补贴辅助管理系统内对应的经销信息是否一致。对已办理牌证的机具，免于现场核验，但须核验购机者携带的《拖拉机和联合收割机行驶证（产权登记证）》信息与“农机购置补贴辅助管理系统”、农机安全监理系统推送给辅助管理系统的牌证信息、机具信息是否一致。二是非重点机具核验。对补贴额较低、风险可控度高的机具可采取补贴资金兑付后按比例抽查核验方式进行，抽核内容同重点机具。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鼓励通过进村入户、提前预约等方式开展核验，便利购机者以及设施安装类机具核验。核验结果由核验人员与购机者双方签字确认。实行双人交叉核验，加强对单人多台套、短期内大批量、同人连年购置同类机具、区域适应性差的机具购置等异常情形的核验。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未通过核验的，应将所发现的问题一次性告知购机者，并说明完善方法。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（四）复核登记。由操作岗按照岗位职责，通过对申请补贴资料原件与补贴管理系统比对进行核验，按规定程序登记录入补贴辅助管理系统，建立购机农户完整补贴档案。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（五）公示报送。对通过审核的补贴申请信息进行为期不少于30天的公示，公示无异议后，分批汇总报送县财政部门，按规定程序兑付补贴资金。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（六）资料处理。对财政部门未提出疑义的补贴申请，将其核验资料留存备用备查，留存期限不少于5年。 </w:t>
      </w:r>
    </w:p>
    <w:p>
      <w:pPr>
        <w:widowControl/>
        <w:shd w:val="clear" w:color="auto" w:fill="FFFFFF"/>
        <w:spacing w:line="58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三、监督管理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二）推行购机承诺践诺。加强购机者补贴申请行为的自我约束和信用管理，实行补贴申请资料真实性、完整性和有效性的自主承诺，引导其规范参与补贴政策实施，主动报告所发现的问题，共同维护政策实施良好环境。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三）全面排查违规线索。对核验中发现的补贴申请违规行为线索，由现场核实工作人员逐条书面登记，并及时报告分管领导。开展违规线索集体研究，及时启动调查程序。对补贴机具核验争议处理等重大事项，及时报请县级农机购置补贴领导小组研究决策。 </w:t>
      </w:r>
    </w:p>
    <w:p>
      <w:pPr>
        <w:widowControl/>
        <w:shd w:val="clear" w:color="auto" w:fill="FFFFFF"/>
        <w:spacing w:line="580" w:lineRule="exact"/>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（四）严格监督管理。健全内部控制制度，以机具核验流程为主线，逐项工作、逐个环节查找风险点，严格落实岗位职责承诺，坚持“谁办事、谁签字、谁负责”。 </w:t>
      </w:r>
    </w:p>
    <w:p>
      <w:pPr>
        <w:spacing w:line="580" w:lineRule="exact"/>
        <w:ind w:firstLine="3520" w:firstLineChars="1100"/>
        <w:rPr>
          <w:rFonts w:hint="eastAsia" w:ascii="仿宋" w:hAnsi="仿宋" w:eastAsia="仿宋"/>
          <w:sz w:val="32"/>
          <w:szCs w:val="32"/>
        </w:rPr>
      </w:pPr>
    </w:p>
    <w:p>
      <w:pPr>
        <w:spacing w:line="580" w:lineRule="exact"/>
        <w:ind w:firstLine="3520" w:firstLineChars="1100"/>
        <w:rPr>
          <w:rFonts w:hint="eastAsia" w:ascii="仿宋" w:hAnsi="仿宋" w:eastAsia="仿宋"/>
          <w:sz w:val="32"/>
          <w:szCs w:val="32"/>
        </w:rPr>
      </w:pPr>
    </w:p>
    <w:p>
      <w:pPr>
        <w:spacing w:line="580" w:lineRule="exact"/>
        <w:ind w:firstLine="3520" w:firstLineChars="1100"/>
        <w:rPr>
          <w:rFonts w:hint="eastAsia" w:ascii="仿宋" w:hAnsi="仿宋" w:eastAsia="仿宋"/>
          <w:sz w:val="32"/>
          <w:szCs w:val="32"/>
        </w:rPr>
      </w:pPr>
    </w:p>
    <w:p>
      <w:pPr>
        <w:spacing w:line="580" w:lineRule="exact"/>
        <w:ind w:firstLine="3520" w:firstLineChars="1100"/>
        <w:rPr>
          <w:rFonts w:ascii="仿宋" w:hAnsi="仿宋" w:eastAsia="仿宋"/>
          <w:sz w:val="32"/>
          <w:szCs w:val="32"/>
        </w:rPr>
      </w:pPr>
      <w:r>
        <w:rPr>
          <w:rFonts w:ascii="仿宋" w:hAnsi="仿宋" w:eastAsia="仿宋"/>
          <w:sz w:val="32"/>
          <w:szCs w:val="32"/>
        </w:rPr>
        <w:t>阜新</w:t>
      </w:r>
      <w:r>
        <w:rPr>
          <w:rFonts w:hint="eastAsia" w:ascii="仿宋" w:hAnsi="仿宋" w:eastAsia="仿宋"/>
          <w:sz w:val="32"/>
          <w:szCs w:val="32"/>
        </w:rPr>
        <w:t>市海州区</w:t>
      </w:r>
      <w:r>
        <w:rPr>
          <w:rFonts w:ascii="仿宋" w:hAnsi="仿宋" w:eastAsia="仿宋"/>
          <w:sz w:val="32"/>
          <w:szCs w:val="32"/>
        </w:rPr>
        <w:t>农业农村局</w:t>
      </w:r>
    </w:p>
    <w:p>
      <w:pPr>
        <w:spacing w:line="580" w:lineRule="exact"/>
        <w:ind w:firstLine="4160" w:firstLineChars="13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w:t>
      </w:r>
      <w:r>
        <w:rPr>
          <w:rFonts w:hint="eastAsia" w:ascii="仿宋" w:hAnsi="仿宋" w:eastAsia="仿宋"/>
          <w:sz w:val="32"/>
          <w:szCs w:val="32"/>
          <w:lang w:val="en-US" w:eastAsia="zh-CN"/>
        </w:rPr>
        <w:t>3</w:t>
      </w:r>
      <w:bookmarkStart w:id="0" w:name="_GoBack"/>
      <w:bookmarkEnd w:id="0"/>
      <w:r>
        <w:rPr>
          <w:rFonts w:ascii="仿宋" w:hAnsi="仿宋" w:eastAsia="仿宋"/>
          <w:sz w:val="32"/>
          <w:szCs w:val="32"/>
        </w:rPr>
        <w:t>月</w:t>
      </w:r>
      <w:r>
        <w:rPr>
          <w:rFonts w:hint="eastAsia" w:ascii="仿宋" w:hAnsi="仿宋" w:eastAsia="仿宋"/>
          <w:sz w:val="32"/>
          <w:szCs w:val="32"/>
        </w:rPr>
        <w:t>25</w:t>
      </w:r>
      <w:r>
        <w:rPr>
          <w:rFonts w:ascii="仿宋" w:hAnsi="仿宋" w:eastAsia="仿宋"/>
          <w:sz w:val="32"/>
          <w:szCs w:val="32"/>
        </w:rPr>
        <w:t>日</w:t>
      </w:r>
      <w:r>
        <w:rPr>
          <w:rFonts w:ascii="仿宋" w:hAnsi="仿宋" w:eastAsia="仿宋"/>
          <w:sz w:val="32"/>
          <w:szCs w:val="32"/>
        </w:rPr>
        <w:pict>
          <v:line id="直线 9" o:spid="_x0000_s2050" o:spt="20" style="position:absolute;left:0pt;margin-left:78.55pt;margin-top:365pt;height:0.05pt;width:0.7pt;z-index:251659264;mso-width-relative:page;mso-height-relative:page;" coordsize="21600,21600">
            <v:path arrowok="t"/>
            <v:fill focussize="0,0"/>
            <v:stroke/>
            <v:imagedata o:title=""/>
            <o:lock v:ext="edit"/>
          </v:line>
        </w:pict>
      </w:r>
    </w:p>
    <w:p/>
    <w:sectPr>
      <w:pgSz w:w="11906" w:h="16838"/>
      <w:pgMar w:top="1100" w:right="1803" w:bottom="110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94C"/>
    <w:rsid w:val="00130E54"/>
    <w:rsid w:val="004E594C"/>
    <w:rsid w:val="3CA2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1973</Words>
  <Characters>1980</Characters>
  <Lines>14</Lines>
  <Paragraphs>4</Paragraphs>
  <TotalTime>10</TotalTime>
  <ScaleCrop>false</ScaleCrop>
  <LinksUpToDate>false</LinksUpToDate>
  <CharactersWithSpaces>2004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2020-03-30T02:18:00Z</dcterms:created>
  <dc:creator>lenovo</dc:creator>
  <cp:lastModifiedBy>宇</cp:lastModifiedBy>
  <dcterms:modified xsi:type="dcterms:W3CDTF">2022-04-29T02:52:37Z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39719CE62B324E2099D08F4D3A227D24</vt:lpwstr>
  </property>
</Properties>
</file>